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928B" w14:textId="0650FC4E" w:rsidR="008868E8" w:rsidRPr="00F23162" w:rsidRDefault="65B0D1CC" w:rsidP="00F23162">
      <w:pPr>
        <w:pStyle w:val="Heading1"/>
        <w:rPr>
          <w:rFonts w:ascii="Franklin Gothic Medium" w:hAnsi="Franklin Gothic Medium"/>
        </w:rPr>
      </w:pPr>
      <w:r w:rsidRPr="00F23162">
        <w:rPr>
          <w:rFonts w:ascii="Franklin Gothic Medium" w:hAnsi="Franklin Gothic Medium"/>
        </w:rPr>
        <w:t>Written notices for usage of restrictive practices</w:t>
      </w:r>
    </w:p>
    <w:p w14:paraId="6DD0C230" w14:textId="59B162DF" w:rsidR="008868E8" w:rsidRDefault="008868E8" w:rsidP="65B0D1CC">
      <w:pPr>
        <w:rPr>
          <w:rFonts w:ascii="Calibri" w:eastAsia="Calibri" w:hAnsi="Calibri" w:cs="Calibri"/>
          <w:color w:val="201F1E"/>
        </w:rPr>
      </w:pPr>
    </w:p>
    <w:p w14:paraId="052AF928" w14:textId="5B4F16D5" w:rsidR="00533527" w:rsidRPr="00F23162" w:rsidRDefault="00533527" w:rsidP="00F23162">
      <w:pPr>
        <w:pStyle w:val="Heading2"/>
      </w:pPr>
      <w:r w:rsidRPr="00F23162">
        <w:t>Legal requirements</w:t>
      </w:r>
    </w:p>
    <w:p w14:paraId="7875B863" w14:textId="182740B0" w:rsidR="008868E8" w:rsidRPr="00011EE4" w:rsidRDefault="65B0D1CC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Under the </w:t>
      </w:r>
      <w:r w:rsidRPr="00011EE4">
        <w:rPr>
          <w:rFonts w:ascii="Calibri" w:eastAsia="Calibri" w:hAnsi="Calibri" w:cs="Calibri"/>
          <w:i/>
          <w:iCs/>
          <w:color w:val="201F1E"/>
          <w:sz w:val="25"/>
          <w:szCs w:val="25"/>
        </w:rPr>
        <w:t>Disability Inclusion</w:t>
      </w:r>
      <w:r w:rsidR="007B402B" w:rsidRPr="00011EE4">
        <w:rPr>
          <w:rFonts w:ascii="Calibri" w:eastAsia="Calibri" w:hAnsi="Calibri" w:cs="Calibri"/>
          <w:i/>
          <w:iCs/>
          <w:color w:val="201F1E"/>
          <w:sz w:val="25"/>
          <w:szCs w:val="25"/>
        </w:rPr>
        <w:t xml:space="preserve"> Act 2018</w:t>
      </w:r>
      <w:r w:rsidRPr="00011EE4">
        <w:rPr>
          <w:rFonts w:ascii="Calibri" w:eastAsia="Calibri" w:hAnsi="Calibri" w:cs="Calibri"/>
          <w:i/>
          <w:iCs/>
          <w:color w:val="201F1E"/>
          <w:sz w:val="25"/>
          <w:szCs w:val="25"/>
        </w:rPr>
        <w:t xml:space="preserve"> (</w:t>
      </w:r>
      <w:r w:rsidR="007B402B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as amended by the </w:t>
      </w:r>
      <w:r w:rsidR="007B402B" w:rsidRPr="00011EE4">
        <w:rPr>
          <w:rFonts w:ascii="Calibri" w:eastAsia="Calibri" w:hAnsi="Calibri" w:cs="Calibri"/>
          <w:i/>
          <w:iCs/>
          <w:color w:val="201F1E"/>
          <w:sz w:val="25"/>
          <w:szCs w:val="25"/>
        </w:rPr>
        <w:t>Disability Inclusion (</w:t>
      </w:r>
      <w:r w:rsidRPr="00011EE4">
        <w:rPr>
          <w:rFonts w:ascii="Calibri" w:eastAsia="Calibri" w:hAnsi="Calibri" w:cs="Calibri"/>
          <w:i/>
          <w:iCs/>
          <w:color w:val="201F1E"/>
          <w:sz w:val="25"/>
          <w:szCs w:val="25"/>
        </w:rPr>
        <w:t>Restrictive Practices – NDIS) Amendment Act 2021</w:t>
      </w:r>
      <w:r w:rsidR="007B402B" w:rsidRPr="00011EE4">
        <w:rPr>
          <w:rFonts w:ascii="Calibri" w:eastAsia="Calibri" w:hAnsi="Calibri" w:cs="Calibri"/>
          <w:i/>
          <w:iCs/>
          <w:color w:val="201F1E"/>
          <w:sz w:val="25"/>
          <w:szCs w:val="25"/>
        </w:rPr>
        <w:t>)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, implementing providers who have </w:t>
      </w:r>
      <w:proofErr w:type="spellStart"/>
      <w:r w:rsidRPr="00011EE4">
        <w:rPr>
          <w:rFonts w:ascii="Calibri" w:eastAsia="Calibri" w:hAnsi="Calibri" w:cs="Calibri"/>
          <w:color w:val="201F1E"/>
          <w:sz w:val="25"/>
          <w:szCs w:val="25"/>
        </w:rPr>
        <w:t>authorisation</w:t>
      </w:r>
      <w:proofErr w:type="spellEnd"/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to implement a restrictive practice for a participant are required to provide a written notice advising </w:t>
      </w:r>
      <w:r w:rsidR="007B402B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the 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participant and </w:t>
      </w:r>
      <w:r w:rsidR="007B402B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their legal guardian / substitute decision maker 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>of the use of the restrictive practice.</w:t>
      </w:r>
      <w:r w:rsidR="004B0879" w:rsidRPr="00011EE4">
        <w:rPr>
          <w:rStyle w:val="FootnoteReference"/>
          <w:rFonts w:ascii="Calibri" w:eastAsia="Calibri" w:hAnsi="Calibri" w:cs="Calibri"/>
          <w:color w:val="201F1E"/>
          <w:sz w:val="25"/>
          <w:szCs w:val="25"/>
        </w:rPr>
        <w:footnoteReference w:id="1"/>
      </w:r>
    </w:p>
    <w:p w14:paraId="73532A53" w14:textId="707C2F21" w:rsidR="008868E8" w:rsidRPr="00011EE4" w:rsidRDefault="65B0D1CC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>Th</w:t>
      </w:r>
      <w:r w:rsidR="00B23799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e written notice must </w:t>
      </w:r>
      <w:r w:rsidR="00B723B9" w:rsidRPr="00011EE4">
        <w:rPr>
          <w:rFonts w:ascii="Calibri" w:eastAsia="Calibri" w:hAnsi="Calibri" w:cs="Calibri"/>
          <w:color w:val="201F1E"/>
          <w:sz w:val="25"/>
          <w:szCs w:val="25"/>
        </w:rPr>
        <w:t>include</w:t>
      </w:r>
      <w:r w:rsidR="00321F4D" w:rsidRPr="00011EE4">
        <w:rPr>
          <w:rStyle w:val="FootnoteReference"/>
          <w:rFonts w:ascii="Calibri" w:eastAsia="Calibri" w:hAnsi="Calibri" w:cs="Calibri"/>
          <w:color w:val="201F1E"/>
          <w:sz w:val="25"/>
          <w:szCs w:val="25"/>
        </w:rPr>
        <w:footnoteReference w:id="2"/>
      </w:r>
      <w:r w:rsidR="00B723B9" w:rsidRPr="00011EE4">
        <w:rPr>
          <w:rFonts w:ascii="Calibri" w:eastAsia="Calibri" w:hAnsi="Calibri" w:cs="Calibri"/>
          <w:color w:val="201F1E"/>
          <w:sz w:val="25"/>
          <w:szCs w:val="25"/>
        </w:rPr>
        <w:t>:</w:t>
      </w:r>
    </w:p>
    <w:p w14:paraId="33B96BC3" w14:textId="324A7099" w:rsidR="008868E8" w:rsidRPr="00011EE4" w:rsidRDefault="65B0D1CC" w:rsidP="00011EE4">
      <w:pPr>
        <w:pStyle w:val="Bullet"/>
      </w:pPr>
      <w:r w:rsidRPr="00011EE4">
        <w:t>The name of the participant</w:t>
      </w:r>
    </w:p>
    <w:p w14:paraId="025623C0" w14:textId="530B8187" w:rsidR="008868E8" w:rsidRPr="00011EE4" w:rsidRDefault="65B0D1CC" w:rsidP="00011EE4">
      <w:pPr>
        <w:pStyle w:val="Bullet"/>
      </w:pPr>
      <w:r w:rsidRPr="00011EE4">
        <w:t>The name of the implementing provider</w:t>
      </w:r>
    </w:p>
    <w:p w14:paraId="70594923" w14:textId="77777777" w:rsidR="00704DE5" w:rsidRPr="00011EE4" w:rsidRDefault="00704DE5" w:rsidP="00011EE4">
      <w:pPr>
        <w:pStyle w:val="Bullet"/>
      </w:pPr>
      <w:r w:rsidRPr="00011EE4">
        <w:t xml:space="preserve">The time and date (or </w:t>
      </w:r>
      <w:proofErr w:type="gramStart"/>
      <w:r w:rsidRPr="00011EE4">
        <w:t>period of time</w:t>
      </w:r>
      <w:proofErr w:type="gramEnd"/>
      <w:r w:rsidRPr="00011EE4">
        <w:t xml:space="preserve">) the restrictive practice was used </w:t>
      </w:r>
    </w:p>
    <w:p w14:paraId="38F99A85" w14:textId="6728FF0B" w:rsidR="008868E8" w:rsidRPr="00011EE4" w:rsidRDefault="00CD41B4" w:rsidP="00011EE4">
      <w:pPr>
        <w:pStyle w:val="Bullet"/>
      </w:pPr>
      <w:r w:rsidRPr="00011EE4">
        <w:t>The nature of the restrictive practice</w:t>
      </w:r>
    </w:p>
    <w:p w14:paraId="63FEAD47" w14:textId="3F31646A" w:rsidR="008868E8" w:rsidRPr="00011EE4" w:rsidRDefault="65B0D1CC" w:rsidP="00011EE4">
      <w:pPr>
        <w:pStyle w:val="Bullet"/>
      </w:pPr>
      <w:r w:rsidRPr="00011EE4">
        <w:t xml:space="preserve">Why </w:t>
      </w:r>
      <w:proofErr w:type="gramStart"/>
      <w:r w:rsidRPr="00011EE4">
        <w:t>the restrictive practice was</w:t>
      </w:r>
      <w:proofErr w:type="gramEnd"/>
      <w:r w:rsidRPr="00011EE4">
        <w:t xml:space="preserve"> </w:t>
      </w:r>
      <w:r w:rsidR="00F14457" w:rsidRPr="00011EE4">
        <w:t>used?</w:t>
      </w:r>
    </w:p>
    <w:p w14:paraId="7986B37B" w14:textId="206F1A5B" w:rsidR="00CD41B4" w:rsidRPr="00011EE4" w:rsidRDefault="00CD41B4" w:rsidP="00011EE4">
      <w:pPr>
        <w:pStyle w:val="Bullet"/>
      </w:pPr>
      <w:r w:rsidRPr="00011EE4">
        <w:t>Informati</w:t>
      </w:r>
      <w:r w:rsidR="00321194" w:rsidRPr="00011EE4">
        <w:t xml:space="preserve">on about how to appeal a </w:t>
      </w:r>
      <w:r w:rsidR="00A06D54" w:rsidRPr="00011EE4">
        <w:t>reviewable decision about restrictive practices.</w:t>
      </w:r>
    </w:p>
    <w:p w14:paraId="62EDE7C9" w14:textId="55985881" w:rsidR="008868E8" w:rsidRPr="00011EE4" w:rsidRDefault="65B0D1CC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>Providing these notices helps to increase accountability, transparency and visibility when using restrictive practices for people with disabili</w:t>
      </w:r>
      <w:r w:rsidR="00F17CA4" w:rsidRPr="00011EE4">
        <w:rPr>
          <w:rFonts w:ascii="Calibri" w:eastAsia="Calibri" w:hAnsi="Calibri" w:cs="Calibri"/>
          <w:color w:val="201F1E"/>
          <w:sz w:val="25"/>
          <w:szCs w:val="25"/>
        </w:rPr>
        <w:t>ty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>.</w:t>
      </w:r>
    </w:p>
    <w:p w14:paraId="36DC55E2" w14:textId="72EE31BD" w:rsidR="00E80030" w:rsidRPr="00011EE4" w:rsidRDefault="00E80030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>The provision of the written notice is legal requirement</w:t>
      </w:r>
      <w:r w:rsidR="005915B2" w:rsidRPr="00011EE4">
        <w:rPr>
          <w:rFonts w:ascii="Calibri" w:eastAsia="Calibri" w:hAnsi="Calibri" w:cs="Calibri"/>
          <w:color w:val="201F1E"/>
          <w:sz w:val="25"/>
          <w:szCs w:val="25"/>
        </w:rPr>
        <w:t>.  Where a person with disability and their legal guardian make</w:t>
      </w:r>
      <w:r w:rsidR="00943404" w:rsidRPr="00011EE4">
        <w:rPr>
          <w:rFonts w:ascii="Calibri" w:eastAsia="Calibri" w:hAnsi="Calibri" w:cs="Calibri"/>
          <w:color w:val="201F1E"/>
          <w:sz w:val="25"/>
          <w:szCs w:val="25"/>
        </w:rPr>
        <w:t>s</w:t>
      </w:r>
      <w:r w:rsidR="005915B2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an informed decision not to receive </w:t>
      </w:r>
      <w:r w:rsidR="00263642" w:rsidRPr="00011EE4">
        <w:rPr>
          <w:rFonts w:ascii="Calibri" w:eastAsia="Calibri" w:hAnsi="Calibri" w:cs="Calibri"/>
          <w:color w:val="201F1E"/>
          <w:sz w:val="25"/>
          <w:szCs w:val="25"/>
        </w:rPr>
        <w:t>the notice, this should be:</w:t>
      </w:r>
    </w:p>
    <w:p w14:paraId="142DE325" w14:textId="2706C708" w:rsidR="00263642" w:rsidRPr="00011EE4" w:rsidRDefault="00263642" w:rsidP="00011EE4">
      <w:pPr>
        <w:pStyle w:val="Bullet"/>
      </w:pPr>
      <w:r w:rsidRPr="00011EE4">
        <w:t>Documented (preferably</w:t>
      </w:r>
      <w:r w:rsidR="00981E7E" w:rsidRPr="00011EE4">
        <w:t xml:space="preserve"> in writing and signed by the person with disability and their legal guardian</w:t>
      </w:r>
      <w:r w:rsidR="00943404" w:rsidRPr="00011EE4">
        <w:t>) and kept with the person’s formal records</w:t>
      </w:r>
    </w:p>
    <w:p w14:paraId="72E3972F" w14:textId="0611AE37" w:rsidR="00943404" w:rsidRPr="00011EE4" w:rsidRDefault="00943404" w:rsidP="00011EE4">
      <w:pPr>
        <w:pStyle w:val="Bullet"/>
      </w:pPr>
      <w:r w:rsidRPr="00011EE4">
        <w:t xml:space="preserve">Reviewed </w:t>
      </w:r>
      <w:r w:rsidR="00755362" w:rsidRPr="00011EE4">
        <w:t>annually</w:t>
      </w:r>
    </w:p>
    <w:p w14:paraId="6F55388A" w14:textId="15CF74A4" w:rsidR="004B55A9" w:rsidRPr="00011EE4" w:rsidRDefault="004B55A9" w:rsidP="00011EE4">
      <w:pPr>
        <w:pStyle w:val="Bullet"/>
      </w:pPr>
      <w:r w:rsidRPr="00011EE4">
        <w:t>Alternatives should be discussed (</w:t>
      </w:r>
      <w:r w:rsidR="00011EE4">
        <w:t xml:space="preserve">for example, </w:t>
      </w:r>
      <w:r w:rsidRPr="00011EE4">
        <w:t>would the person prefer to discuss the usage of restrictive practices rather than being provided with the notice)</w:t>
      </w:r>
      <w:r w:rsidR="00011EE4">
        <w:t>.</w:t>
      </w:r>
    </w:p>
    <w:p w14:paraId="543FE9BD" w14:textId="529FD5CC" w:rsidR="004B6C05" w:rsidRPr="00011EE4" w:rsidRDefault="004B6C05" w:rsidP="00F14457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The written notice can be provided at the time of use; this might happen if a restrictive practice is used infrequently.  Where the use of restrictive practices is routine </w:t>
      </w:r>
      <w:r w:rsidR="00011EE4">
        <w:rPr>
          <w:rFonts w:ascii="Calibri" w:eastAsia="Calibri" w:hAnsi="Calibri" w:cs="Calibri"/>
          <w:color w:val="201F1E"/>
          <w:sz w:val="25"/>
          <w:szCs w:val="25"/>
        </w:rPr>
        <w:t>(for example,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a locked drawer) or is more frequent, reports about usage can be consolidated for a reporting period of up to 3</w:t>
      </w:r>
      <w:r w:rsidR="00011EE4">
        <w:rPr>
          <w:rFonts w:ascii="Calibri" w:eastAsia="Calibri" w:hAnsi="Calibri" w:cs="Calibri"/>
          <w:color w:val="201F1E"/>
          <w:sz w:val="25"/>
          <w:szCs w:val="25"/>
        </w:rPr>
        <w:t> 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months. </w:t>
      </w:r>
    </w:p>
    <w:p w14:paraId="5B2BE06C" w14:textId="5C811724" w:rsidR="00304E27" w:rsidRPr="00F14457" w:rsidRDefault="00304E27" w:rsidP="00F23162">
      <w:pPr>
        <w:pStyle w:val="Heading2"/>
      </w:pPr>
      <w:r w:rsidRPr="00F14457">
        <w:lastRenderedPageBreak/>
        <w:t>Practice consideration</w:t>
      </w:r>
      <w:r w:rsidR="004B55A9">
        <w:t>s</w:t>
      </w:r>
    </w:p>
    <w:p w14:paraId="0F3BF82D" w14:textId="12F5FA6D" w:rsidR="008868E8" w:rsidRPr="00011EE4" w:rsidRDefault="00F17CA4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>I</w:t>
      </w:r>
      <w:r w:rsidR="65B0D1CC" w:rsidRPr="00011EE4">
        <w:rPr>
          <w:rFonts w:ascii="Calibri" w:eastAsia="Calibri" w:hAnsi="Calibri" w:cs="Calibri"/>
          <w:color w:val="201F1E"/>
          <w:sz w:val="25"/>
          <w:szCs w:val="25"/>
        </w:rPr>
        <w:t>t is important to make sure the</w:t>
      </w:r>
      <w:r w:rsidR="007C254D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information in the </w:t>
      </w:r>
      <w:r w:rsidR="004B55A9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written </w:t>
      </w:r>
      <w:r w:rsidR="007C254D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notice is available in </w:t>
      </w:r>
      <w:r w:rsidR="65B0D1CC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an accessible way. This may mean assisting </w:t>
      </w:r>
      <w:r w:rsidR="007C254D" w:rsidRPr="00011EE4">
        <w:rPr>
          <w:rFonts w:ascii="Calibri" w:eastAsia="Calibri" w:hAnsi="Calibri" w:cs="Calibri"/>
          <w:color w:val="201F1E"/>
          <w:sz w:val="25"/>
          <w:szCs w:val="25"/>
        </w:rPr>
        <w:t>the</w:t>
      </w:r>
      <w:r w:rsidR="00863572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person</w:t>
      </w:r>
      <w:r w:rsidR="007C254D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with disability </w:t>
      </w:r>
      <w:r w:rsidR="65B0D1CC" w:rsidRPr="00011EE4">
        <w:rPr>
          <w:rFonts w:ascii="Calibri" w:eastAsia="Calibri" w:hAnsi="Calibri" w:cs="Calibri"/>
          <w:color w:val="201F1E"/>
          <w:sz w:val="25"/>
          <w:szCs w:val="25"/>
        </w:rPr>
        <w:t>to access support</w:t>
      </w:r>
      <w:r w:rsidR="00863572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to read the notice, </w:t>
      </w:r>
      <w:proofErr w:type="gramStart"/>
      <w:r w:rsidR="65B0D1CC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having a discussion </w:t>
      </w:r>
      <w:r w:rsidR="00863572" w:rsidRPr="00011EE4">
        <w:rPr>
          <w:rFonts w:ascii="Calibri" w:eastAsia="Calibri" w:hAnsi="Calibri" w:cs="Calibri"/>
          <w:color w:val="201F1E"/>
          <w:sz w:val="25"/>
          <w:szCs w:val="25"/>
        </w:rPr>
        <w:t>about</w:t>
      </w:r>
      <w:proofErr w:type="gramEnd"/>
      <w:r w:rsidR="00863572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the notice, and </w:t>
      </w:r>
      <w:r w:rsidR="65B0D1CC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explaining what the information means. </w:t>
      </w:r>
    </w:p>
    <w:p w14:paraId="3DA2D6CA" w14:textId="7E42DDDF" w:rsidR="003150A0" w:rsidRPr="00011EE4" w:rsidRDefault="003150A0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Written notices can be used to review the pattern of restrictive practices usage in the preceding </w:t>
      </w:r>
      <w:proofErr w:type="gramStart"/>
      <w:r w:rsidRPr="00011EE4">
        <w:rPr>
          <w:rFonts w:ascii="Calibri" w:eastAsia="Calibri" w:hAnsi="Calibri" w:cs="Calibri"/>
          <w:color w:val="201F1E"/>
          <w:sz w:val="25"/>
          <w:szCs w:val="25"/>
        </w:rPr>
        <w:t>period</w:t>
      </w:r>
      <w:r w:rsidR="00596A48" w:rsidRPr="00011EE4">
        <w:rPr>
          <w:rFonts w:ascii="Calibri" w:eastAsia="Calibri" w:hAnsi="Calibri" w:cs="Calibri"/>
          <w:color w:val="201F1E"/>
          <w:sz w:val="25"/>
          <w:szCs w:val="25"/>
        </w:rPr>
        <w:t>, and</w:t>
      </w:r>
      <w:proofErr w:type="gramEnd"/>
      <w:r w:rsidR="00596A48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inform </w:t>
      </w:r>
      <w:proofErr w:type="spellStart"/>
      <w:r w:rsidR="00596A48" w:rsidRPr="00011EE4">
        <w:rPr>
          <w:rFonts w:ascii="Calibri" w:eastAsia="Calibri" w:hAnsi="Calibri" w:cs="Calibri"/>
          <w:color w:val="201F1E"/>
          <w:sz w:val="25"/>
          <w:szCs w:val="25"/>
        </w:rPr>
        <w:t>behaviour</w:t>
      </w:r>
      <w:proofErr w:type="spellEnd"/>
      <w:r w:rsidR="00596A48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support strategies.  Discussions may include:</w:t>
      </w:r>
    </w:p>
    <w:p w14:paraId="66469D6F" w14:textId="0CF2798E" w:rsidR="00596A48" w:rsidRPr="00011EE4" w:rsidRDefault="00596A48" w:rsidP="00011EE4">
      <w:pPr>
        <w:pStyle w:val="Bullet"/>
      </w:pPr>
      <w:r w:rsidRPr="00011EE4">
        <w:t>What kind of restrictive practices were used and in what circumstances</w:t>
      </w:r>
      <w:r w:rsidR="00935B19" w:rsidRPr="00011EE4">
        <w:t>?</w:t>
      </w:r>
    </w:p>
    <w:p w14:paraId="041CCBBA" w14:textId="4D2DF635" w:rsidR="00596A48" w:rsidRPr="00011EE4" w:rsidRDefault="00596A48" w:rsidP="00011EE4">
      <w:pPr>
        <w:pStyle w:val="Bullet"/>
      </w:pPr>
      <w:r w:rsidRPr="00011EE4">
        <w:t xml:space="preserve">Has the </w:t>
      </w:r>
      <w:r w:rsidR="00935B19" w:rsidRPr="00011EE4">
        <w:t>frequency of usage increased or decreased?</w:t>
      </w:r>
    </w:p>
    <w:p w14:paraId="1B261A77" w14:textId="3BDC6034" w:rsidR="00935B19" w:rsidRPr="00011EE4" w:rsidRDefault="00935B19" w:rsidP="00011EE4">
      <w:pPr>
        <w:pStyle w:val="Bullet"/>
      </w:pPr>
      <w:r w:rsidRPr="00011EE4">
        <w:t>What may have affected the use of restrictive practices during this period?</w:t>
      </w:r>
    </w:p>
    <w:p w14:paraId="1063827C" w14:textId="53C4B88D" w:rsidR="00935B19" w:rsidRPr="00011EE4" w:rsidRDefault="00C51EE0" w:rsidP="00011EE4">
      <w:pPr>
        <w:pStyle w:val="Bullet"/>
      </w:pPr>
      <w:r w:rsidRPr="00011EE4">
        <w:t xml:space="preserve">What additional supports may be needed </w:t>
      </w:r>
      <w:r w:rsidR="002379E3" w:rsidRPr="00011EE4">
        <w:t>if usage of restrictive practices is increasing?</w:t>
      </w:r>
    </w:p>
    <w:p w14:paraId="3CE8EA4A" w14:textId="6ED46AEF" w:rsidR="002379E3" w:rsidRPr="00011EE4" w:rsidRDefault="002379E3" w:rsidP="00011EE4">
      <w:pPr>
        <w:pStyle w:val="Bullet"/>
      </w:pPr>
      <w:r w:rsidRPr="00011EE4">
        <w:t xml:space="preserve">How can restrictive practices be safely reduced if there are indicators </w:t>
      </w:r>
      <w:r w:rsidR="00D240F2" w:rsidRPr="00011EE4">
        <w:t xml:space="preserve">of positive </w:t>
      </w:r>
      <w:proofErr w:type="spellStart"/>
      <w:r w:rsidR="00D240F2" w:rsidRPr="00011EE4">
        <w:t>behaviour</w:t>
      </w:r>
      <w:proofErr w:type="spellEnd"/>
      <w:r w:rsidR="00D240F2" w:rsidRPr="00011EE4">
        <w:t xml:space="preserve"> change</w:t>
      </w:r>
      <w:r w:rsidR="004B6C05" w:rsidRPr="00011EE4">
        <w:t>?</w:t>
      </w:r>
    </w:p>
    <w:p w14:paraId="25216497" w14:textId="5D9BFB51" w:rsidR="004B6C05" w:rsidRPr="00011EE4" w:rsidRDefault="004B6C05" w:rsidP="00011EE4">
      <w:pPr>
        <w:pStyle w:val="Heading2"/>
      </w:pPr>
      <w:bookmarkStart w:id="0" w:name="_Int_PAHVLCS5"/>
      <w:r w:rsidRPr="00011EE4">
        <w:t>Using RPS to generate reports</w:t>
      </w:r>
    </w:p>
    <w:p w14:paraId="69B2F0BA" w14:textId="683F2BCF" w:rsidR="004B6C05" w:rsidRPr="00011EE4" w:rsidRDefault="004B6C05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NDIS implementing providers are not required to use the Restrictive Practices System to record their use of restrictive practices.  </w:t>
      </w:r>
      <w:r w:rsidR="004139D7" w:rsidRPr="00011EE4">
        <w:rPr>
          <w:rFonts w:ascii="Calibri" w:eastAsia="Calibri" w:hAnsi="Calibri" w:cs="Calibri"/>
          <w:color w:val="201F1E"/>
          <w:sz w:val="25"/>
          <w:szCs w:val="25"/>
        </w:rPr>
        <w:t>Some providers may prefer to use their own internal system or generate a spreadsheet from the NDIS portal PRODA.</w:t>
      </w:r>
    </w:p>
    <w:p w14:paraId="4BD3741E" w14:textId="2C6DC36A" w:rsidR="000A2CB6" w:rsidRPr="00011EE4" w:rsidRDefault="0084103C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If restrictive practices usage is recorded in RPS, </w:t>
      </w:r>
      <w:bookmarkEnd w:id="0"/>
      <w:r w:rsidR="00C75F9F" w:rsidRPr="00011EE4">
        <w:rPr>
          <w:rFonts w:ascii="Calibri" w:eastAsia="Calibri" w:hAnsi="Calibri" w:cs="Calibri"/>
          <w:color w:val="201F1E"/>
          <w:sz w:val="25"/>
          <w:szCs w:val="25"/>
        </w:rPr>
        <w:t>NDIS implementing providers can us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e RPS </w:t>
      </w:r>
      <w:r w:rsidR="00C75F9F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to generate a table of </w:t>
      </w:r>
      <w:hyperlink r:id="rId11" w:history="1">
        <w:r w:rsidR="006372F3" w:rsidRPr="00011EE4">
          <w:rPr>
            <w:rStyle w:val="Hyperlink"/>
            <w:rFonts w:ascii="Calibri" w:eastAsia="Calibri" w:hAnsi="Calibri" w:cs="Calibri"/>
            <w:sz w:val="25"/>
            <w:szCs w:val="25"/>
          </w:rPr>
          <w:t>restrictive practice usage</w:t>
        </w:r>
      </w:hyperlink>
      <w:r w:rsidR="004F690D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for an NDIS participant</w:t>
      </w:r>
      <w:r w:rsidR="00567158">
        <w:rPr>
          <w:rStyle w:val="FootnoteReference"/>
          <w:rFonts w:ascii="Calibri" w:eastAsia="Calibri" w:hAnsi="Calibri" w:cs="Calibri"/>
          <w:color w:val="201F1E"/>
          <w:sz w:val="25"/>
          <w:szCs w:val="25"/>
        </w:rPr>
        <w:footnoteReference w:id="3"/>
      </w:r>
      <w:r w:rsidR="004F690D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.  This table includes the key information required in a written notice.  </w:t>
      </w:r>
    </w:p>
    <w:p w14:paraId="7204A5A3" w14:textId="65A41F51" w:rsidR="008868E8" w:rsidRPr="00011EE4" w:rsidRDefault="65B0D1CC" w:rsidP="65B0D1CC">
      <w:pPr>
        <w:rPr>
          <w:rFonts w:ascii="Calibri" w:eastAsia="Calibri" w:hAnsi="Calibri" w:cs="Calibri"/>
          <w:color w:val="201F1E"/>
          <w:sz w:val="25"/>
          <w:szCs w:val="25"/>
        </w:rPr>
      </w:pP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The Restrictive Practices Unit </w:t>
      </w:r>
      <w:bookmarkStart w:id="1" w:name="_Int_HW49fc19"/>
      <w:r w:rsidRPr="00011EE4">
        <w:rPr>
          <w:rFonts w:ascii="Calibri" w:eastAsia="Calibri" w:hAnsi="Calibri" w:cs="Calibri"/>
          <w:color w:val="201F1E"/>
          <w:sz w:val="25"/>
          <w:szCs w:val="25"/>
        </w:rPr>
        <w:t>ha</w:t>
      </w:r>
      <w:r w:rsidR="005F598B" w:rsidRPr="00011EE4">
        <w:rPr>
          <w:rFonts w:ascii="Calibri" w:eastAsia="Calibri" w:hAnsi="Calibri" w:cs="Calibri"/>
          <w:color w:val="201F1E"/>
          <w:sz w:val="25"/>
          <w:szCs w:val="25"/>
        </w:rPr>
        <w:t>s</w:t>
      </w:r>
      <w:bookmarkEnd w:id="1"/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created a template for the written notice for implementing providers to use if they wish to. This </w:t>
      </w:r>
      <w:r w:rsidR="008329D8" w:rsidRPr="00011EE4">
        <w:rPr>
          <w:rFonts w:ascii="Calibri" w:eastAsia="Calibri" w:hAnsi="Calibri" w:cs="Calibri"/>
          <w:color w:val="201F1E"/>
          <w:sz w:val="25"/>
          <w:szCs w:val="25"/>
        </w:rPr>
        <w:t>is design</w:t>
      </w:r>
      <w:r w:rsidR="00BF1B39" w:rsidRPr="00011EE4">
        <w:rPr>
          <w:rFonts w:ascii="Calibri" w:eastAsia="Calibri" w:hAnsi="Calibri" w:cs="Calibri"/>
          <w:color w:val="201F1E"/>
          <w:sz w:val="25"/>
          <w:szCs w:val="25"/>
        </w:rPr>
        <w:t>ed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to</w:t>
      </w:r>
      <w:r w:rsidR="008329D8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be a cover letter for the </w:t>
      </w:r>
      <w:r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usage </w:t>
      </w:r>
      <w:r w:rsidR="00F14457" w:rsidRPr="00011EE4">
        <w:rPr>
          <w:rFonts w:ascii="Calibri" w:eastAsia="Calibri" w:hAnsi="Calibri" w:cs="Calibri"/>
          <w:color w:val="201F1E"/>
          <w:sz w:val="25"/>
          <w:szCs w:val="25"/>
        </w:rPr>
        <w:t>report and</w:t>
      </w:r>
      <w:r w:rsidR="0072030C" w:rsidRPr="00011EE4">
        <w:rPr>
          <w:rFonts w:ascii="Calibri" w:eastAsia="Calibri" w:hAnsi="Calibri" w:cs="Calibri"/>
          <w:color w:val="201F1E"/>
          <w:sz w:val="25"/>
          <w:szCs w:val="25"/>
        </w:rPr>
        <w:t xml:space="preserve"> can be modified as required.  </w:t>
      </w:r>
    </w:p>
    <w:p w14:paraId="6EE28FF0" w14:textId="04B8EE71" w:rsidR="0072030C" w:rsidRDefault="0072030C" w:rsidP="65B0D1CC">
      <w:pPr>
        <w:rPr>
          <w:rFonts w:ascii="Calibri" w:eastAsia="Calibri" w:hAnsi="Calibri" w:cs="Calibri"/>
          <w:color w:val="201F1E"/>
        </w:rPr>
      </w:pPr>
    </w:p>
    <w:p w14:paraId="45A00917" w14:textId="77777777" w:rsidR="0072030C" w:rsidRDefault="0072030C" w:rsidP="65B0D1CC">
      <w:pPr>
        <w:rPr>
          <w:rFonts w:ascii="Calibri" w:eastAsia="Calibri" w:hAnsi="Calibri" w:cs="Calibri"/>
          <w:color w:val="201F1E"/>
        </w:rPr>
      </w:pPr>
    </w:p>
    <w:p w14:paraId="5F876C2C" w14:textId="2A6F4F1A" w:rsidR="008868E8" w:rsidRDefault="008868E8" w:rsidP="65B0D1CC">
      <w:pPr>
        <w:rPr>
          <w:rFonts w:ascii="Calibri" w:eastAsia="Calibri" w:hAnsi="Calibri" w:cs="Calibri"/>
          <w:color w:val="201F1E"/>
        </w:rPr>
      </w:pPr>
    </w:p>
    <w:p w14:paraId="2C078E63" w14:textId="04E7E09D" w:rsidR="008868E8" w:rsidRDefault="008868E8" w:rsidP="65B0D1CC"/>
    <w:sectPr w:rsidR="008868E8" w:rsidSect="00F2316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9DA2" w14:textId="77777777" w:rsidR="00A83A71" w:rsidRDefault="00A83A71" w:rsidP="00A83A71">
      <w:pPr>
        <w:spacing w:after="0" w:line="240" w:lineRule="auto"/>
      </w:pPr>
      <w:r>
        <w:separator/>
      </w:r>
    </w:p>
  </w:endnote>
  <w:endnote w:type="continuationSeparator" w:id="0">
    <w:p w14:paraId="26458A4F" w14:textId="77777777" w:rsidR="00A83A71" w:rsidRDefault="00A83A71" w:rsidP="00A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93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15829" w14:textId="45F90E52" w:rsidR="00A83A71" w:rsidRDefault="00F23162" w:rsidP="00F23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7BC0" w14:textId="77777777" w:rsidR="00A83A71" w:rsidRDefault="00A83A71" w:rsidP="00A83A71">
      <w:pPr>
        <w:spacing w:after="0" w:line="240" w:lineRule="auto"/>
      </w:pPr>
      <w:r>
        <w:separator/>
      </w:r>
    </w:p>
  </w:footnote>
  <w:footnote w:type="continuationSeparator" w:id="0">
    <w:p w14:paraId="01418F48" w14:textId="77777777" w:rsidR="00A83A71" w:rsidRDefault="00A83A71" w:rsidP="00A83A71">
      <w:pPr>
        <w:spacing w:after="0" w:line="240" w:lineRule="auto"/>
      </w:pPr>
      <w:r>
        <w:continuationSeparator/>
      </w:r>
    </w:p>
  </w:footnote>
  <w:footnote w:id="1">
    <w:p w14:paraId="52AD8773" w14:textId="2DCA4F22" w:rsidR="004B0879" w:rsidRPr="00F14457" w:rsidRDefault="004B087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0B3428">
        <w:t xml:space="preserve">S23N (8) and </w:t>
      </w:r>
      <w:r w:rsidR="001351F3">
        <w:t>s 23O (8)</w:t>
      </w:r>
      <w:r w:rsidR="009066A2">
        <w:t xml:space="preserve"> </w:t>
      </w:r>
      <w:r w:rsidR="00304E27">
        <w:t>–</w:t>
      </w:r>
      <w:r w:rsidR="009066A2">
        <w:t xml:space="preserve"> </w:t>
      </w:r>
      <w:r w:rsidR="00304E27">
        <w:t>Disability Inclusion Act 2018</w:t>
      </w:r>
    </w:p>
  </w:footnote>
  <w:footnote w:id="2">
    <w:p w14:paraId="1FECE752" w14:textId="655638EE" w:rsidR="00321F4D" w:rsidRPr="00F14457" w:rsidRDefault="00321F4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Regulation 12 and </w:t>
      </w:r>
      <w:r w:rsidR="009066A2">
        <w:rPr>
          <w:lang w:val="en-AU"/>
        </w:rPr>
        <w:t xml:space="preserve">13 - </w:t>
      </w:r>
      <w:r>
        <w:rPr>
          <w:lang w:val="en-AU"/>
        </w:rPr>
        <w:t>Disabi</w:t>
      </w:r>
      <w:r w:rsidR="009066A2">
        <w:rPr>
          <w:lang w:val="en-AU"/>
        </w:rPr>
        <w:t>lity Inclusion (Restrictive Practices – NDIS) Regulations 20</w:t>
      </w:r>
      <w:r w:rsidR="00304E27">
        <w:rPr>
          <w:lang w:val="en-AU"/>
        </w:rPr>
        <w:t>21</w:t>
      </w:r>
    </w:p>
  </w:footnote>
  <w:footnote w:id="3">
    <w:p w14:paraId="09EE7587" w14:textId="6DE84C34" w:rsidR="00567158" w:rsidRPr="00567158" w:rsidRDefault="0056715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Restrictive Practice Usage page</w:t>
      </w:r>
      <w:r w:rsidR="00AF6110">
        <w:t>:</w:t>
      </w:r>
      <w:r>
        <w:t xml:space="preserve"> </w:t>
      </w:r>
      <w:hyperlink r:id="rId1" w:history="1">
        <w:r w:rsidRPr="00FA3634">
          <w:rPr>
            <w:rStyle w:val="Hyperlink"/>
          </w:rPr>
          <w:t>https://www.sa.gov.au/topics/care-and-support/disability/restrictive-practices/resources/providers-and-apos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58BF" w14:textId="6C80B0E4" w:rsidR="00A83A71" w:rsidRDefault="00A83A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0F1F14" wp14:editId="56D4CF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E579A" w14:textId="6EC3565B" w:rsidR="00A83A71" w:rsidRPr="00A83A71" w:rsidRDefault="00A83A7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83A7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F1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B8E579A" w14:textId="6EC3565B" w:rsidR="00A83A71" w:rsidRPr="00A83A71" w:rsidRDefault="00A83A7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A83A7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ED7" w14:textId="40EAF6EF" w:rsidR="00A83A71" w:rsidRDefault="00A83A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10145B" wp14:editId="1B6D97C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1168D" w14:textId="662B050C" w:rsidR="00A83A71" w:rsidRPr="00A83A71" w:rsidRDefault="00A83A7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83A7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014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0E1168D" w14:textId="662B050C" w:rsidR="00A83A71" w:rsidRPr="00A83A71" w:rsidRDefault="00A83A7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A83A7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5089" w14:textId="32A3880C" w:rsidR="00A83A71" w:rsidRDefault="00A83A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A7080E" wp14:editId="5D5A1FE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FA9F8" w14:textId="0DC86F15" w:rsidR="00A83A71" w:rsidRPr="00A83A71" w:rsidRDefault="00A83A7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83A7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708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441FA9F8" w14:textId="0DC86F15" w:rsidR="00A83A71" w:rsidRPr="00A83A71" w:rsidRDefault="00A83A7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</w:pPr>
                    <w:r w:rsidRPr="00A83A71">
                      <w:rPr>
                        <w:rFonts w:ascii="Calibri" w:eastAsia="Calibri" w:hAnsi="Calibri" w:cs="Calibri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HW49fc19" int2:invalidationBookmarkName="" int2:hashCode="/4fOpKSLdzQqLb" int2:id="xzv4iFHt">
      <int2:state int2:type="LegacyProofing" int2:value="Rejected"/>
    </int2:bookmark>
    <int2:bookmark int2:bookmarkName="_Int_TpIJkeq0" int2:invalidationBookmarkName="" int2:hashCode="dF0ZGKRLBlRmCJ" int2:id="CNHiXvSB">
      <int2:state int2:type="LegacyProofing" int2:value="Rejected"/>
    </int2:bookmark>
    <int2:bookmark int2:bookmarkName="_Int_PAHVLCS5" int2:invalidationBookmarkName="" int2:hashCode="41LhoQZcsnLTxM" int2:id="0K3zZpI5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ABE"/>
    <w:multiLevelType w:val="hybridMultilevel"/>
    <w:tmpl w:val="9F0C052C"/>
    <w:lvl w:ilvl="0" w:tplc="3B98A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004"/>
    <w:multiLevelType w:val="hybridMultilevel"/>
    <w:tmpl w:val="5178F4A2"/>
    <w:lvl w:ilvl="0" w:tplc="B26A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D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4C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0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8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E5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C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AD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CF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0CB9"/>
    <w:multiLevelType w:val="hybridMultilevel"/>
    <w:tmpl w:val="718CA052"/>
    <w:lvl w:ilvl="0" w:tplc="052223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C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0A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2E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CF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E4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79DC"/>
    <w:multiLevelType w:val="hybridMultilevel"/>
    <w:tmpl w:val="815C1C3E"/>
    <w:lvl w:ilvl="0" w:tplc="3B98A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A6BC6E"/>
    <w:rsid w:val="00011EE4"/>
    <w:rsid w:val="000A2CB6"/>
    <w:rsid w:val="000B3428"/>
    <w:rsid w:val="001351F3"/>
    <w:rsid w:val="002379E3"/>
    <w:rsid w:val="00263642"/>
    <w:rsid w:val="00304E27"/>
    <w:rsid w:val="003150A0"/>
    <w:rsid w:val="00321194"/>
    <w:rsid w:val="00321F4D"/>
    <w:rsid w:val="004139D7"/>
    <w:rsid w:val="004B0879"/>
    <w:rsid w:val="004B55A9"/>
    <w:rsid w:val="004B6C05"/>
    <w:rsid w:val="004F690D"/>
    <w:rsid w:val="00533527"/>
    <w:rsid w:val="00567158"/>
    <w:rsid w:val="005915B2"/>
    <w:rsid w:val="00596A48"/>
    <w:rsid w:val="005F598B"/>
    <w:rsid w:val="006372F3"/>
    <w:rsid w:val="00704DE5"/>
    <w:rsid w:val="0072030C"/>
    <w:rsid w:val="00755362"/>
    <w:rsid w:val="007B402B"/>
    <w:rsid w:val="007C254D"/>
    <w:rsid w:val="00830396"/>
    <w:rsid w:val="008329D8"/>
    <w:rsid w:val="0084103C"/>
    <w:rsid w:val="00863572"/>
    <w:rsid w:val="008868E8"/>
    <w:rsid w:val="008A1330"/>
    <w:rsid w:val="009066A2"/>
    <w:rsid w:val="00935B19"/>
    <w:rsid w:val="00943404"/>
    <w:rsid w:val="00981E7E"/>
    <w:rsid w:val="00A06D54"/>
    <w:rsid w:val="00A83A71"/>
    <w:rsid w:val="00AF6110"/>
    <w:rsid w:val="00B23799"/>
    <w:rsid w:val="00B723B9"/>
    <w:rsid w:val="00BF1B39"/>
    <w:rsid w:val="00C51EE0"/>
    <w:rsid w:val="00C75F9F"/>
    <w:rsid w:val="00CC0BB8"/>
    <w:rsid w:val="00CD41B4"/>
    <w:rsid w:val="00D240F2"/>
    <w:rsid w:val="00D867FE"/>
    <w:rsid w:val="00E80030"/>
    <w:rsid w:val="00F14457"/>
    <w:rsid w:val="00F17CA4"/>
    <w:rsid w:val="00F23162"/>
    <w:rsid w:val="00F506DE"/>
    <w:rsid w:val="013E8138"/>
    <w:rsid w:val="0CC1E6BE"/>
    <w:rsid w:val="0D3DCB8B"/>
    <w:rsid w:val="0E131F77"/>
    <w:rsid w:val="0E5DB71F"/>
    <w:rsid w:val="0F1A96CC"/>
    <w:rsid w:val="118C79CF"/>
    <w:rsid w:val="1393E4B2"/>
    <w:rsid w:val="16DE220C"/>
    <w:rsid w:val="1794A8C5"/>
    <w:rsid w:val="18A850B5"/>
    <w:rsid w:val="19FF7323"/>
    <w:rsid w:val="1D0282EC"/>
    <w:rsid w:val="1E9E534D"/>
    <w:rsid w:val="1F679DDC"/>
    <w:rsid w:val="207267BA"/>
    <w:rsid w:val="220E381B"/>
    <w:rsid w:val="22861641"/>
    <w:rsid w:val="23A6BC6E"/>
    <w:rsid w:val="23AA087C"/>
    <w:rsid w:val="2545D8DD"/>
    <w:rsid w:val="25731F5B"/>
    <w:rsid w:val="28F557C5"/>
    <w:rsid w:val="2A213786"/>
    <w:rsid w:val="2A623266"/>
    <w:rsid w:val="2C2CF887"/>
    <w:rsid w:val="2CE2E14D"/>
    <w:rsid w:val="322C496B"/>
    <w:rsid w:val="348236F2"/>
    <w:rsid w:val="3AA2F5D2"/>
    <w:rsid w:val="3B11F5E6"/>
    <w:rsid w:val="3CB8061A"/>
    <w:rsid w:val="3FEFA6DC"/>
    <w:rsid w:val="47F078EE"/>
    <w:rsid w:val="4DAB104C"/>
    <w:rsid w:val="4ED79898"/>
    <w:rsid w:val="4FC346C7"/>
    <w:rsid w:val="520F395A"/>
    <w:rsid w:val="5391E15E"/>
    <w:rsid w:val="57D66D70"/>
    <w:rsid w:val="59E185E6"/>
    <w:rsid w:val="5DB4A871"/>
    <w:rsid w:val="5E4C4551"/>
    <w:rsid w:val="65B0D1CC"/>
    <w:rsid w:val="68551021"/>
    <w:rsid w:val="6BBB0493"/>
    <w:rsid w:val="6D56D4F4"/>
    <w:rsid w:val="6DD2B9C1"/>
    <w:rsid w:val="6E13B4A1"/>
    <w:rsid w:val="72E725C4"/>
    <w:rsid w:val="75C4A349"/>
    <w:rsid w:val="776073AA"/>
    <w:rsid w:val="776AB37D"/>
    <w:rsid w:val="7AB13CC9"/>
    <w:rsid w:val="7C14C91E"/>
    <w:rsid w:val="7CCB81AD"/>
    <w:rsid w:val="7F4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BC6E"/>
  <w15:chartTrackingRefBased/>
  <w15:docId w15:val="{3EBA167B-188E-4CA4-A74C-49CCF62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162"/>
    <w:pPr>
      <w:keepNext/>
      <w:keepLines/>
      <w:spacing w:before="200" w:after="100"/>
      <w:outlineLvl w:val="1"/>
    </w:pPr>
    <w:rPr>
      <w:rFonts w:eastAsiaTheme="majorEastAsia" w:cstheme="minorHAnsi"/>
      <w:b/>
      <w:bCs/>
      <w:color w:val="000000" w:themeColor="text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71"/>
  </w:style>
  <w:style w:type="paragraph" w:styleId="Footer">
    <w:name w:val="footer"/>
    <w:basedOn w:val="Normal"/>
    <w:link w:val="FooterChar"/>
    <w:uiPriority w:val="99"/>
    <w:unhideWhenUsed/>
    <w:rsid w:val="00011EE4"/>
    <w:pPr>
      <w:tabs>
        <w:tab w:val="center" w:pos="4680"/>
        <w:tab w:val="right" w:pos="9360"/>
      </w:tabs>
      <w:spacing w:after="0" w:line="240" w:lineRule="auto"/>
    </w:pPr>
    <w:rPr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011EE4"/>
    <w:rPr>
      <w:sz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9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8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8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87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231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162"/>
    <w:rPr>
      <w:rFonts w:eastAsiaTheme="majorEastAsia" w:cstheme="minorHAnsi"/>
      <w:b/>
      <w:bCs/>
      <w:color w:val="000000" w:themeColor="text1"/>
      <w:sz w:val="30"/>
      <w:szCs w:val="30"/>
    </w:rPr>
  </w:style>
  <w:style w:type="paragraph" w:customStyle="1" w:styleId="Bullet">
    <w:name w:val="Bullet"/>
    <w:basedOn w:val="ListParagraph"/>
    <w:qFormat/>
    <w:rsid w:val="00011EE4"/>
    <w:pPr>
      <w:numPr>
        <w:numId w:val="1"/>
      </w:numPr>
      <w:tabs>
        <w:tab w:val="left" w:pos="426"/>
      </w:tabs>
      <w:spacing w:before="80" w:after="80"/>
      <w:ind w:left="426" w:hanging="384"/>
      <w:contextualSpacing w:val="0"/>
    </w:pPr>
    <w:rPr>
      <w:rFonts w:ascii="Calibri" w:eastAsia="Calibri" w:hAnsi="Calibri" w:cs="Calibri"/>
      <w:color w:val="201F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.gov.au/topics/care-and-support/disability/restrictive-practices/resources/providers-and-apo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3ba25cf0aad2467e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.gov.au/topics/care-and-support/disability/restrictive-practices/resources/providers-and-ap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813B1741FB418F7F9C572BCDA8ED" ma:contentTypeVersion="12" ma:contentTypeDescription="Create a new document." ma:contentTypeScope="" ma:versionID="dd66418a935db059bdbabf9323666b46">
  <xsd:schema xmlns:xsd="http://www.w3.org/2001/XMLSchema" xmlns:xs="http://www.w3.org/2001/XMLSchema" xmlns:p="http://schemas.microsoft.com/office/2006/metadata/properties" xmlns:ns2="80affdd8-0b8f-4298-b0f0-dee6d873b224" xmlns:ns3="a2b72fc2-910c-44c8-b91b-d4d8f2055c04" targetNamespace="http://schemas.microsoft.com/office/2006/metadata/properties" ma:root="true" ma:fieldsID="b326bad96bd7cdba3900ebc2e9cce071" ns2:_="" ns3:_="">
    <xsd:import namespace="80affdd8-0b8f-4298-b0f0-dee6d873b224"/>
    <xsd:import namespace="a2b72fc2-910c-44c8-b91b-d4d8f205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fdd8-0b8f-4298-b0f0-dee6d873b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2fc2-910c-44c8-b91b-d4d8f2055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CBE5B-7140-4E73-831E-D1D90DCC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13BD9-9DBC-4964-9962-B0E38BFD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ffdd8-0b8f-4298-b0f0-dee6d873b224"/>
    <ds:schemaRef ds:uri="a2b72fc2-910c-44c8-b91b-d4d8f205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B825B-CE5A-4AC8-B071-84B396E5B2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FD8DE-3D8B-409B-98B5-181FECFCE5B6}">
  <ds:schemaRefs>
    <ds:schemaRef ds:uri="http://schemas.microsoft.com/office/2006/metadata/properties"/>
    <ds:schemaRef ds:uri="http://purl.org/dc/terms/"/>
    <ds:schemaRef ds:uri="80affdd8-0b8f-4298-b0f0-dee6d873b22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2b72fc2-910c-44c8-b91b-d4d8f2055c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notices for usage of restrictive practices</dc:title>
  <dc:subject/>
  <dc:creator>Ingham, Melanie (DHS)</dc:creator>
  <cp:keywords>restrictive practices, disability, human rights</cp:keywords>
  <dc:description/>
  <cp:lastModifiedBy>Martin, Anna (DHS)</cp:lastModifiedBy>
  <cp:revision>2</cp:revision>
  <cp:lastPrinted>2022-06-06T00:30:00Z</cp:lastPrinted>
  <dcterms:created xsi:type="dcterms:W3CDTF">2022-06-08T08:46:00Z</dcterms:created>
  <dcterms:modified xsi:type="dcterms:W3CDTF">2022-06-08T08:46:00Z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2022-05-31T01:58:03Z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aa79adf9-c972-4199-9891-1de186fa7a83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0x010100B8BB813B1741FB418F7F9C572BCDA8ED</vt:lpwstr>
  </property>
</Properties>
</file>